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участию в открытом одноэтапном тендере </w:t>
      </w:r>
      <w:r w:rsidR="00244201">
        <w:rPr>
          <w:rFonts w:ascii="Times New Roman" w:hAnsi="Times New Roman" w:cs="Times New Roman"/>
          <w:sz w:val="24"/>
          <w:szCs w:val="24"/>
        </w:rPr>
        <w:t>55</w:t>
      </w:r>
      <w:r w:rsidR="00072B54">
        <w:rPr>
          <w:rFonts w:ascii="Times New Roman" w:hAnsi="Times New Roman" w:cs="Times New Roman"/>
          <w:sz w:val="24"/>
          <w:szCs w:val="24"/>
        </w:rPr>
        <w:t>37</w:t>
      </w:r>
      <w:r w:rsidR="00244201">
        <w:rPr>
          <w:rFonts w:ascii="Times New Roman" w:hAnsi="Times New Roman" w:cs="Times New Roman"/>
          <w:sz w:val="24"/>
          <w:szCs w:val="24"/>
        </w:rPr>
        <w:t>-</w:t>
      </w:r>
      <w:r w:rsidR="00244201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244201" w:rsidRPr="00244201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B42034">
        <w:rPr>
          <w:rFonts w:ascii="Times New Roman" w:hAnsi="Times New Roman" w:cs="Times New Roman"/>
          <w:sz w:val="24"/>
          <w:szCs w:val="24"/>
        </w:rPr>
        <w:t xml:space="preserve">демонтажных и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>по проект</w:t>
      </w:r>
      <w:r w:rsidR="00072B54">
        <w:rPr>
          <w:rFonts w:ascii="Times New Roman" w:hAnsi="Times New Roman" w:cs="Times New Roman"/>
          <w:sz w:val="24"/>
          <w:szCs w:val="24"/>
        </w:rPr>
        <w:t>ам:</w:t>
      </w:r>
      <w:r w:rsidR="00431CC8" w:rsidRPr="00431CC8">
        <w:rPr>
          <w:rFonts w:ascii="Times New Roman" w:hAnsi="Times New Roman" w:cs="Times New Roman"/>
          <w:sz w:val="24"/>
          <w:szCs w:val="24"/>
        </w:rPr>
        <w:t xml:space="preserve"> </w:t>
      </w:r>
      <w:r w:rsidR="00072B54" w:rsidRPr="00072B54">
        <w:rPr>
          <w:rFonts w:ascii="Times New Roman" w:hAnsi="Times New Roman" w:cs="Times New Roman"/>
          <w:sz w:val="24"/>
          <w:szCs w:val="24"/>
        </w:rPr>
        <w:t>DBN-19-0030-11.3 Морской Терминал. Береговые сооружения. Демонтаж существующих СИКН и сопутствующих сооружений;</w:t>
      </w:r>
      <w:r w:rsidR="00072B54">
        <w:rPr>
          <w:rFonts w:ascii="Times New Roman" w:hAnsi="Times New Roman" w:cs="Times New Roman"/>
          <w:sz w:val="24"/>
          <w:szCs w:val="24"/>
        </w:rPr>
        <w:t xml:space="preserve"> </w:t>
      </w:r>
      <w:r w:rsidR="00072B54" w:rsidRPr="00072B54">
        <w:rPr>
          <w:rFonts w:ascii="Times New Roman" w:hAnsi="Times New Roman" w:cs="Times New Roman"/>
          <w:sz w:val="24"/>
          <w:szCs w:val="24"/>
        </w:rPr>
        <w:t>DBN-19-0030-11.4 Морской терминал. Береговые сооружения. Монтаж дополнительного УРД и ССД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072B54" w:rsidP="00840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54">
        <w:rPr>
          <w:rFonts w:ascii="Times New Roman" w:hAnsi="Times New Roman" w:cs="Times New Roman"/>
          <w:sz w:val="24"/>
          <w:szCs w:val="24"/>
        </w:rPr>
        <w:t xml:space="preserve">Краснодарский край, п. Южная Озереевка, г. Новороссийск, Береговые сооружения, Морской терминал АО «КТК-Р» на Черноморском побережье, в юго-восточной части полуострова </w:t>
      </w:r>
      <w:proofErr w:type="spellStart"/>
      <w:r w:rsidRPr="00072B54">
        <w:rPr>
          <w:rFonts w:ascii="Times New Roman" w:hAnsi="Times New Roman" w:cs="Times New Roman"/>
          <w:sz w:val="24"/>
          <w:szCs w:val="24"/>
        </w:rPr>
        <w:t>Абрау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Pr="00840AF7" w:rsidRDefault="00FB28E4" w:rsidP="00FC18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B42034">
        <w:rPr>
          <w:rFonts w:ascii="Times New Roman" w:eastAsia="Times New Roman" w:hAnsi="Times New Roman" w:cs="Times New Roman"/>
          <w:sz w:val="24"/>
          <w:szCs w:val="24"/>
        </w:rPr>
        <w:t xml:space="preserve">демонтажных и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 xml:space="preserve"> включает, не ограничиваясь, следующие виды работ:</w:t>
      </w:r>
    </w:p>
    <w:p w:rsidR="00072B54" w:rsidRPr="00072B54" w:rsidRDefault="00072B54" w:rsidP="00072B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а) по демонтажу существующих СИКН и сопутствующих сооружений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(проект </w:t>
      </w:r>
      <w:r w:rsidRPr="00072B54">
        <w:rPr>
          <w:rFonts w:ascii="Times New Roman" w:hAnsi="Times New Roman" w:cs="Times New Roman"/>
          <w:sz w:val="24"/>
          <w:szCs w:val="24"/>
        </w:rPr>
        <w:t>DBN-19-0030-11.3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B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Устройство перемычек между входными выходными коллекторами СИКН А-510 и А-520, а также монтаж сопутствующих технологических трубопроводов и опор;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Демонтаж коммерческих узлов учета нефти 42-PK-A510 (СИКН А-510) совместно с БИК и 42-PK-A520 (СИКН А-520) совместно с БИК, а также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трубопоршневой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установки (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прувер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>) 42-РК-А530 (ТПУ) с сопутствующими сооружениями, в том числе фундаментами, опорами;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Демонтаж водопроводных сетей и сооружений, а также производственно-дождевой канализации с устройством перемычек;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Демонтаж технологических трубопроводов, в т.ч. межблочных трубопроводов СИКН, с системой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электрообогрева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трубопроводов;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Демонтаж электротехнического оборудования и материалов, в том числе: кабельной продукции, проложенной по кабельным конструкциям и в трубах электропроводки по основанию блока, БИЛ узла учета СИКН А-510 СИКН А-520, и по кабельным конструкциям узла учета ТПУ; трубы электропроводки; кабельные конструкции (стойки, полки, лотки); светильники, клеммные коробки, выключатели системы электроосвещения; шины заземления на площадках; проводники заземления; КЛ из ж\б кабельного лотка; кабельный лоток и дорожные плиты на подходах к демонтируемым площадкам; существующая опора освещения LF-C4B-01, замена кронштейнов и светильников на существующих опорах освещения LF-C4B-02, LF-C4B-03; кабельные линии освещения;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Демонтаж заземления;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Демонтаж КИП с отключением и демонтажем кабеля: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СИКН А-510 и А-520; ТПУ; в </w:t>
      </w:r>
      <w:r w:rsidRPr="00072B54">
        <w:rPr>
          <w:rFonts w:ascii="Times New Roman" w:eastAsia="Times New Roman" w:hAnsi="Times New Roman" w:cs="Times New Roman"/>
          <w:sz w:val="24"/>
          <w:szCs w:val="24"/>
        </w:rPr>
        <w:t>Здании Операторной и в помещении лаборатории;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Демонтаж оборудования АСУ ТП в Операторной (шкафы управления СИКН, АРМы операторов);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Демонтаж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оповещателей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о загазованности, газоанализаторов, о пожаре,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извещателей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пламени, вибрационных сигнализаторов;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Устройство временного ограждения места производства работ с учетом предупредительных знаков и освещения в темное время суток;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Подрядчику необходимо обеспечить выполнение работ по демонтажу, удалению остатков нефтепродуктов и вывозу оборудования и труб на площадку очистки ЛАРН (РП) для пропарки, далее - на склад Заказчика;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Транспортировка и сдача на склад Заказчика силами Подрядчика демонтированных металлоконструкций;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Планировка и благоустройство земельных участков территории с ликвидацией выемок и насыпи, утилизация строительного мусора, укладка ж/б дорожных плит для защиты действующих коммуникаций;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Мониторинг существующих зданий и сооружений, попадающих в зону влияния участков демонтажных работ;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Выполнение компенсационных мероприятия по восстановлению поврежденного во время строительно-монтажных работ дорожного покрытия;</w:t>
      </w:r>
    </w:p>
    <w:p w:rsidR="00072B54" w:rsidRPr="00072B54" w:rsidRDefault="00072B54" w:rsidP="00072B54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б) по монтажу дополнительного УРД и ССД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(проект </w:t>
      </w:r>
      <w:r w:rsidRPr="00072B54">
        <w:rPr>
          <w:rFonts w:ascii="Times New Roman" w:hAnsi="Times New Roman" w:cs="Times New Roman"/>
          <w:sz w:val="24"/>
          <w:szCs w:val="24"/>
        </w:rPr>
        <w:t>DBN-19-0030-11.4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B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Изготовление и монтаж узла регулирования давления (УРД), узла переключения с запорной арматурой и станции сброса давления (ССД); монтаж технологической трубной обвязки с подключением к технологическим трубопроводам и системам жизнеобеспечения нового оборудования (электроснабжение, дренаж, технологический контроль, оповещение, водоотведение и т.д.); монтаж технологической арматуры, в том числе запорной, регулирующей, предохранительной; монтаж опор и оснований;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Обустройство существующих ССД1 и ССД2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байпасными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линиями промывки;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Монтаж запорной арматуры на перемычке между линиями погрузки (ВПУ-2) и возвратным коллектором в многоцелевой резервуар;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Монтаж теплоизоляции и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электрообогрева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надземных участков трубопроводов с запорной арматурой;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Подключение к заземлению нового оборудования;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Выполнение компенсационных мероприятия по восстановлению поврежденного во время строительно-монтажных работ дорожного покрытия;</w:t>
      </w:r>
    </w:p>
    <w:p w:rsidR="00072B54" w:rsidRPr="00072B5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Планировка и благоустройство земельных участков территории с ликвидацией выемок и насыпи, утилизация строительного мусора;</w:t>
      </w:r>
    </w:p>
    <w:p w:rsidR="00B42034" w:rsidRPr="00B42034" w:rsidRDefault="00072B54" w:rsidP="00072B54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по монтажу дополнительного УРД и ССД, при необходимости, предусмотреть монтаж и последующий демонтаж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ВЗиС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технологической площадки для изготовления </w:t>
      </w:r>
      <w:proofErr w:type="spellStart"/>
      <w:r w:rsidRPr="00072B54">
        <w:rPr>
          <w:rFonts w:ascii="Times New Roman" w:eastAsia="Times New Roman" w:hAnsi="Times New Roman" w:cs="Times New Roman"/>
          <w:sz w:val="24"/>
          <w:szCs w:val="24"/>
        </w:rPr>
        <w:t>крупноузловых</w:t>
      </w:r>
      <w:proofErr w:type="spellEnd"/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деталей трубопроводов на период СМР, места временного складирования грунта, временного хранения ине</w:t>
      </w:r>
      <w:r>
        <w:rPr>
          <w:rFonts w:ascii="Times New Roman" w:eastAsia="Times New Roman" w:hAnsi="Times New Roman" w:cs="Times New Roman"/>
          <w:sz w:val="24"/>
          <w:szCs w:val="24"/>
        </w:rPr>
        <w:t>ртных материалов, рекультивацию</w:t>
      </w:r>
      <w:r w:rsidR="00B4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B13" w:rsidRPr="00E16B13" w:rsidRDefault="00E16B13" w:rsidP="00E16B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072B54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проекту DBN-19-0030-11.3 Морской Терминал. Береговые сооружения. Демонтаж существующих СИКН и сопутствующих сооружений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16B13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Сентябрь</w:t>
      </w:r>
      <w:r w:rsidR="00E16B1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16B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E16B1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072B54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B54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>Выполнение работ по проекту: DBN-19-0030-11.4 Морской терминал. Береговые сооружения.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онтаж дополнительного УРД и ССД </w:t>
      </w:r>
    </w:p>
    <w:p w:rsidR="00F91FEA" w:rsidRPr="00072B54" w:rsidRDefault="00072B54" w:rsidP="00072B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Февраль</w:t>
      </w: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 г.</w:t>
      </w: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июль</w:t>
      </w: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 г.</w:t>
      </w:r>
      <w:bookmarkStart w:id="1" w:name="_GoBack"/>
      <w:bookmarkEnd w:id="1"/>
    </w:p>
    <w:sectPr w:rsidR="00F91FEA" w:rsidRPr="00072B54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F1" w:rsidRDefault="00AA0EF1" w:rsidP="00D408E3">
      <w:pPr>
        <w:spacing w:before="0" w:after="0" w:line="240" w:lineRule="auto"/>
      </w:pPr>
      <w:r>
        <w:separator/>
      </w:r>
    </w:p>
  </w:endnote>
  <w:endnote w:type="continuationSeparator" w:id="0">
    <w:p w:rsidR="00AA0EF1" w:rsidRDefault="00AA0EF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2B5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2B5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F1" w:rsidRDefault="00AA0EF1" w:rsidP="00D408E3">
      <w:pPr>
        <w:spacing w:before="0" w:after="0" w:line="240" w:lineRule="auto"/>
      </w:pPr>
      <w:r>
        <w:separator/>
      </w:r>
    </w:p>
  </w:footnote>
  <w:footnote w:type="continuationSeparator" w:id="0">
    <w:p w:rsidR="00AA0EF1" w:rsidRDefault="00AA0EF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33"/>
  </w:num>
  <w:num w:numId="4">
    <w:abstractNumId w:val="19"/>
  </w:num>
  <w:num w:numId="5">
    <w:abstractNumId w:val="47"/>
  </w:num>
  <w:num w:numId="6">
    <w:abstractNumId w:val="31"/>
  </w:num>
  <w:num w:numId="7">
    <w:abstractNumId w:val="27"/>
  </w:num>
  <w:num w:numId="8">
    <w:abstractNumId w:val="29"/>
  </w:num>
  <w:num w:numId="9">
    <w:abstractNumId w:val="23"/>
  </w:num>
  <w:num w:numId="10">
    <w:abstractNumId w:val="34"/>
  </w:num>
  <w:num w:numId="11">
    <w:abstractNumId w:val="24"/>
  </w:num>
  <w:num w:numId="12">
    <w:abstractNumId w:val="5"/>
  </w:num>
  <w:num w:numId="13">
    <w:abstractNumId w:val="11"/>
  </w:num>
  <w:num w:numId="14">
    <w:abstractNumId w:val="1"/>
  </w:num>
  <w:num w:numId="15">
    <w:abstractNumId w:val="17"/>
  </w:num>
  <w:num w:numId="16">
    <w:abstractNumId w:val="32"/>
  </w:num>
  <w:num w:numId="17">
    <w:abstractNumId w:val="4"/>
  </w:num>
  <w:num w:numId="18">
    <w:abstractNumId w:val="8"/>
  </w:num>
  <w:num w:numId="19">
    <w:abstractNumId w:val="21"/>
  </w:num>
  <w:num w:numId="20">
    <w:abstractNumId w:val="15"/>
  </w:num>
  <w:num w:numId="21">
    <w:abstractNumId w:val="26"/>
  </w:num>
  <w:num w:numId="22">
    <w:abstractNumId w:val="22"/>
  </w:num>
  <w:num w:numId="23">
    <w:abstractNumId w:val="38"/>
  </w:num>
  <w:num w:numId="24">
    <w:abstractNumId w:val="39"/>
  </w:num>
  <w:num w:numId="25">
    <w:abstractNumId w:val="10"/>
  </w:num>
  <w:num w:numId="26">
    <w:abstractNumId w:val="13"/>
  </w:num>
  <w:num w:numId="27">
    <w:abstractNumId w:val="43"/>
  </w:num>
  <w:num w:numId="28">
    <w:abstractNumId w:val="7"/>
  </w:num>
  <w:num w:numId="29">
    <w:abstractNumId w:val="20"/>
  </w:num>
  <w:num w:numId="30">
    <w:abstractNumId w:val="48"/>
  </w:num>
  <w:num w:numId="31">
    <w:abstractNumId w:val="12"/>
  </w:num>
  <w:num w:numId="32">
    <w:abstractNumId w:val="30"/>
  </w:num>
  <w:num w:numId="33">
    <w:abstractNumId w:val="28"/>
  </w:num>
  <w:num w:numId="34">
    <w:abstractNumId w:val="40"/>
  </w:num>
  <w:num w:numId="35">
    <w:abstractNumId w:val="18"/>
  </w:num>
  <w:num w:numId="36">
    <w:abstractNumId w:val="45"/>
  </w:num>
  <w:num w:numId="37">
    <w:abstractNumId w:val="3"/>
  </w:num>
  <w:num w:numId="38">
    <w:abstractNumId w:val="1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6"/>
  </w:num>
  <w:num w:numId="43">
    <w:abstractNumId w:val="25"/>
  </w:num>
  <w:num w:numId="44">
    <w:abstractNumId w:val="35"/>
  </w:num>
  <w:num w:numId="45">
    <w:abstractNumId w:val="41"/>
  </w:num>
  <w:num w:numId="46">
    <w:abstractNumId w:val="42"/>
  </w:num>
  <w:num w:numId="47">
    <w:abstractNumId w:val="37"/>
  </w:num>
  <w:num w:numId="48">
    <w:abstractNumId w:val="2"/>
  </w:num>
  <w:num w:numId="49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2B54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CEFC7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F58C9E-C2E5-43EC-8F7D-CAC693FF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Khar0609</cp:lastModifiedBy>
  <cp:revision>29</cp:revision>
  <cp:lastPrinted>2017-11-24T11:20:00Z</cp:lastPrinted>
  <dcterms:created xsi:type="dcterms:W3CDTF">2022-12-14T08:18:00Z</dcterms:created>
  <dcterms:modified xsi:type="dcterms:W3CDTF">2023-02-28T13:13:00Z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